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B6" w:rsidRPr="00411A26" w:rsidRDefault="00B15CB6" w:rsidP="00B15CB6">
      <w:pPr>
        <w:pStyle w:val="Nzev"/>
        <w:spacing w:before="120"/>
        <w:rPr>
          <w:rFonts w:cs="Arial"/>
          <w:sz w:val="44"/>
          <w:u w:val="none"/>
        </w:rPr>
      </w:pPr>
      <w:bookmarkStart w:id="0" w:name="_GoBack"/>
      <w:bookmarkEnd w:id="0"/>
      <w:r w:rsidRPr="00411A26">
        <w:rPr>
          <w:rFonts w:cs="Arial"/>
          <w:sz w:val="44"/>
          <w:u w:val="none"/>
        </w:rPr>
        <w:t xml:space="preserve">POLITIKA </w:t>
      </w:r>
      <w:r>
        <w:rPr>
          <w:rFonts w:cs="Arial"/>
          <w:sz w:val="44"/>
          <w:u w:val="none"/>
        </w:rPr>
        <w:t>GDPR</w:t>
      </w:r>
    </w:p>
    <w:p w:rsidR="00B15CB6" w:rsidRPr="00947E2D" w:rsidRDefault="00B15CB6" w:rsidP="009403E6">
      <w:pPr>
        <w:pStyle w:val="Zkladntext"/>
        <w:spacing w:before="60"/>
        <w:rPr>
          <w:rFonts w:cs="Arial"/>
          <w:color w:val="000000"/>
          <w:sz w:val="18"/>
        </w:rPr>
      </w:pPr>
    </w:p>
    <w:p w:rsidR="009403E6" w:rsidRDefault="009403E6" w:rsidP="009403E6">
      <w:pPr>
        <w:pStyle w:val="Zkladntext"/>
        <w:spacing w:before="60"/>
        <w:rPr>
          <w:rFonts w:cs="Arial"/>
          <w:szCs w:val="22"/>
        </w:rPr>
      </w:pPr>
      <w:r>
        <w:rPr>
          <w:rFonts w:cs="Arial"/>
          <w:color w:val="000000"/>
        </w:rPr>
        <w:t xml:space="preserve">Naše společnost se ve své podnikatelské činnosti </w:t>
      </w:r>
      <w:r w:rsidR="00330A95" w:rsidRPr="00583EA6">
        <w:rPr>
          <w:rFonts w:cs="Arial"/>
          <w:color w:val="000000"/>
        </w:rPr>
        <w:t>zabýv</w:t>
      </w:r>
      <w:r>
        <w:rPr>
          <w:rFonts w:cs="Arial"/>
          <w:color w:val="000000"/>
        </w:rPr>
        <w:t xml:space="preserve">á těmito </w:t>
      </w:r>
      <w:r w:rsidRPr="00F62DC7">
        <w:rPr>
          <w:rFonts w:cs="Arial"/>
          <w:szCs w:val="22"/>
        </w:rPr>
        <w:t>t</w:t>
      </w:r>
      <w:r>
        <w:rPr>
          <w:rFonts w:cs="Arial"/>
          <w:szCs w:val="22"/>
        </w:rPr>
        <w:t>řemi</w:t>
      </w:r>
      <w:r w:rsidRPr="00F62DC7">
        <w:rPr>
          <w:rFonts w:cs="Arial"/>
          <w:szCs w:val="22"/>
        </w:rPr>
        <w:t xml:space="preserve"> hlavní</w:t>
      </w:r>
      <w:r>
        <w:rPr>
          <w:rFonts w:cs="Arial"/>
          <w:szCs w:val="22"/>
        </w:rPr>
        <w:t>mi</w:t>
      </w:r>
      <w:r w:rsidRPr="00F62DC7">
        <w:rPr>
          <w:rFonts w:cs="Arial"/>
          <w:szCs w:val="22"/>
        </w:rPr>
        <w:t xml:space="preserve"> oblast</w:t>
      </w:r>
      <w:r>
        <w:rPr>
          <w:rFonts w:cs="Arial"/>
          <w:szCs w:val="22"/>
        </w:rPr>
        <w:t>mi</w:t>
      </w:r>
      <w:r w:rsidRPr="00F62DC7">
        <w:rPr>
          <w:rFonts w:cs="Arial"/>
          <w:szCs w:val="22"/>
        </w:rPr>
        <w:t>:</w:t>
      </w:r>
    </w:p>
    <w:p w:rsidR="007C3C36" w:rsidRPr="006E343D" w:rsidRDefault="007C3C36" w:rsidP="00947E2D">
      <w:pPr>
        <w:pStyle w:val="Normln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</w:rPr>
      </w:pPr>
      <w:r w:rsidRPr="006E343D">
        <w:rPr>
          <w:rFonts w:ascii="Arial" w:hAnsi="Arial" w:cs="Arial"/>
        </w:rPr>
        <w:t>První oblast se týká výroby sklářských strojů</w:t>
      </w:r>
      <w:r w:rsidR="006E343D" w:rsidRPr="006E343D">
        <w:rPr>
          <w:rFonts w:ascii="Arial" w:hAnsi="Arial" w:cs="Arial"/>
        </w:rPr>
        <w:t xml:space="preserve"> a </w:t>
      </w:r>
      <w:r w:rsidRPr="006E343D">
        <w:rPr>
          <w:rFonts w:ascii="Arial" w:hAnsi="Arial" w:cs="Arial"/>
        </w:rPr>
        <w:t xml:space="preserve">zařízení, </w:t>
      </w:r>
      <w:r w:rsidR="006E343D" w:rsidRPr="006E343D">
        <w:rPr>
          <w:rFonts w:ascii="Arial" w:hAnsi="Arial" w:cs="Arial"/>
        </w:rPr>
        <w:t xml:space="preserve">strojních součástí, nástrojů a forem, včetně oprav a výroby náhradních dílů </w:t>
      </w:r>
      <w:r w:rsidRPr="006E343D">
        <w:rPr>
          <w:rFonts w:ascii="Arial" w:hAnsi="Arial" w:cs="Arial"/>
        </w:rPr>
        <w:t xml:space="preserve">nástrojů a forem. </w:t>
      </w:r>
    </w:p>
    <w:p w:rsidR="00947E2D" w:rsidRDefault="007C3C36" w:rsidP="00947E2D">
      <w:pPr>
        <w:pStyle w:val="Normln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</w:rPr>
      </w:pPr>
      <w:r w:rsidRPr="006E343D">
        <w:rPr>
          <w:rFonts w:ascii="Arial" w:hAnsi="Arial" w:cs="Arial"/>
        </w:rPr>
        <w:t xml:space="preserve">Druhou oblastí je </w:t>
      </w:r>
      <w:r w:rsidR="006E343D" w:rsidRPr="006E343D">
        <w:rPr>
          <w:rFonts w:ascii="Arial" w:hAnsi="Arial" w:cs="Arial"/>
        </w:rPr>
        <w:t xml:space="preserve">výstavba a opravy sklářských tavících, pomocných a rafinačních pecí nejrůznějších typů především se specializací na bižuterní průmysl a užitkové sklo. </w:t>
      </w:r>
    </w:p>
    <w:p w:rsidR="007C3C36" w:rsidRDefault="006E343D" w:rsidP="00947E2D">
      <w:pPr>
        <w:pStyle w:val="Normln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</w:rPr>
      </w:pPr>
      <w:r w:rsidRPr="006E343D">
        <w:rPr>
          <w:rFonts w:ascii="Arial" w:hAnsi="Arial" w:cs="Arial"/>
        </w:rPr>
        <w:t>Třetím</w:t>
      </w:r>
      <w:r w:rsidR="007C3C36" w:rsidRPr="006E343D">
        <w:rPr>
          <w:rFonts w:ascii="Arial" w:hAnsi="Arial" w:cs="Arial"/>
        </w:rPr>
        <w:t xml:space="preserve"> odvětvím je výroba a distribuce </w:t>
      </w:r>
      <w:r w:rsidR="009E6844">
        <w:rPr>
          <w:rFonts w:ascii="Arial" w:hAnsi="Arial" w:cs="Arial"/>
        </w:rPr>
        <w:t xml:space="preserve">kompaktních svítidel, </w:t>
      </w:r>
      <w:r w:rsidR="007C3C36" w:rsidRPr="006E343D">
        <w:rPr>
          <w:rFonts w:ascii="Arial" w:hAnsi="Arial" w:cs="Arial"/>
        </w:rPr>
        <w:t>elektroinstalačního materiálu, jako jsou</w:t>
      </w:r>
      <w:r w:rsidR="009E6844">
        <w:rPr>
          <w:rFonts w:ascii="Arial" w:hAnsi="Arial" w:cs="Arial"/>
        </w:rPr>
        <w:t xml:space="preserve"> vestavné spínače, mikrospínače a</w:t>
      </w:r>
      <w:r w:rsidR="007C3C36" w:rsidRPr="006E343D">
        <w:rPr>
          <w:rFonts w:ascii="Arial" w:hAnsi="Arial" w:cs="Arial"/>
        </w:rPr>
        <w:t xml:space="preserve"> objímky.</w:t>
      </w:r>
    </w:p>
    <w:p w:rsidR="00330A95" w:rsidRDefault="00330A95" w:rsidP="00947E2D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</w:rPr>
      </w:pPr>
      <w:r w:rsidRPr="00583EA6">
        <w:rPr>
          <w:rFonts w:ascii="Arial" w:hAnsi="Arial" w:cs="Arial"/>
          <w:color w:val="000000"/>
          <w:sz w:val="22"/>
        </w:rPr>
        <w:t xml:space="preserve">Zpracováváme tedy různé druhy osobních údajů, ať zaměstnanců, obchodních partnerů nebo dalších osob. Platí tedy i pro nás </w:t>
      </w:r>
    </w:p>
    <w:p w:rsidR="00B15CB6" w:rsidRPr="00947E2D" w:rsidRDefault="00B15CB6" w:rsidP="00B15CB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</w:rPr>
      </w:pPr>
    </w:p>
    <w:p w:rsidR="00330A95" w:rsidRPr="00583EA6" w:rsidRDefault="00330A95" w:rsidP="00B15CB6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</w:rPr>
      </w:pPr>
      <w:r w:rsidRPr="00583EA6">
        <w:rPr>
          <w:rFonts w:ascii="Arial" w:hAnsi="Arial" w:cs="Arial"/>
          <w:b/>
          <w:bCs/>
          <w:color w:val="000000"/>
          <w:sz w:val="22"/>
        </w:rPr>
        <w:t>Nařízení EU č. 2016/679 ze dne 27. 4. 2016</w:t>
      </w:r>
    </w:p>
    <w:p w:rsidR="00330A95" w:rsidRDefault="00330A95" w:rsidP="00B15CB6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</w:rPr>
      </w:pPr>
      <w:r w:rsidRPr="00583EA6">
        <w:rPr>
          <w:rFonts w:ascii="Arial" w:hAnsi="Arial" w:cs="Arial"/>
          <w:b/>
          <w:bCs/>
          <w:color w:val="000000"/>
        </w:rPr>
        <w:t xml:space="preserve">Obecné nařízení o ochraně osobních údajů </w:t>
      </w:r>
      <w:r w:rsidRPr="00583EA6">
        <w:rPr>
          <w:rFonts w:ascii="Arial" w:hAnsi="Arial" w:cs="Arial"/>
          <w:b/>
          <w:bCs/>
          <w:color w:val="000000"/>
          <w:sz w:val="22"/>
        </w:rPr>
        <w:t xml:space="preserve">(GDPR – General Data </w:t>
      </w:r>
      <w:proofErr w:type="spellStart"/>
      <w:r w:rsidRPr="00583EA6">
        <w:rPr>
          <w:rFonts w:ascii="Arial" w:hAnsi="Arial" w:cs="Arial"/>
          <w:b/>
          <w:bCs/>
          <w:color w:val="000000"/>
          <w:sz w:val="22"/>
        </w:rPr>
        <w:t>Protection</w:t>
      </w:r>
      <w:proofErr w:type="spellEnd"/>
      <w:r w:rsidRPr="00583EA6"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583EA6">
        <w:rPr>
          <w:rFonts w:ascii="Arial" w:hAnsi="Arial" w:cs="Arial"/>
          <w:b/>
          <w:bCs/>
          <w:color w:val="000000"/>
          <w:sz w:val="22"/>
        </w:rPr>
        <w:t>Regulation</w:t>
      </w:r>
      <w:proofErr w:type="spellEnd"/>
      <w:r w:rsidRPr="00583EA6">
        <w:rPr>
          <w:rFonts w:ascii="Arial" w:hAnsi="Arial" w:cs="Arial"/>
          <w:b/>
          <w:bCs/>
          <w:color w:val="000000"/>
          <w:sz w:val="22"/>
        </w:rPr>
        <w:t>)</w:t>
      </w:r>
      <w:r w:rsidRPr="00583EA6">
        <w:rPr>
          <w:rFonts w:ascii="Arial" w:hAnsi="Arial" w:cs="Arial"/>
          <w:bCs/>
          <w:color w:val="000000"/>
          <w:sz w:val="22"/>
        </w:rPr>
        <w:t>.</w:t>
      </w:r>
    </w:p>
    <w:p w:rsidR="00B15CB6" w:rsidRPr="00583EA6" w:rsidRDefault="00B15CB6" w:rsidP="00B15CB6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</w:rPr>
      </w:pPr>
    </w:p>
    <w:p w:rsidR="00330A95" w:rsidRPr="00583EA6" w:rsidRDefault="00330A95" w:rsidP="00B15CB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583EA6">
        <w:rPr>
          <w:rFonts w:ascii="Arial" w:hAnsi="Arial" w:cs="Arial"/>
          <w:color w:val="000000"/>
          <w:sz w:val="22"/>
        </w:rPr>
        <w:t>Naším cílem je poskytovat zaměstnancům, obchodním partnerům i dalším subjektům bezpečnost jejich osobních údajů a zabránit jejich zneužití. Proto zavádíme GDPR nejen jako povinné zákonné nařízení, ale zároveň jako návod k naplnění uvedeného cíle. Přijali jsme následující vizi:</w:t>
      </w:r>
    </w:p>
    <w:p w:rsidR="00330A95" w:rsidRPr="00947E2D" w:rsidRDefault="00330A95" w:rsidP="00B15CB6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</w:p>
    <w:p w:rsidR="00330A95" w:rsidRPr="001C757B" w:rsidRDefault="00330A95" w:rsidP="00B15CB6">
      <w:pPr>
        <w:widowControl w:val="0"/>
        <w:pBdr>
          <w:top w:val="single" w:sz="1" w:space="1" w:color="000000" w:shadow="1"/>
          <w:left w:val="single" w:sz="1" w:space="1" w:color="000000" w:shadow="1"/>
          <w:bottom w:val="single" w:sz="1" w:space="1" w:color="000000" w:shadow="1"/>
          <w:right w:val="single" w:sz="1" w:space="1" w:color="000000" w:shadow="1"/>
        </w:pBdr>
        <w:tabs>
          <w:tab w:val="center" w:pos="4480"/>
          <w:tab w:val="right" w:pos="9016"/>
        </w:tabs>
        <w:jc w:val="center"/>
        <w:rPr>
          <w:rFonts w:ascii="Arial" w:hAnsi="Arial"/>
          <w:sz w:val="6"/>
          <w:highlight w:val="yellow"/>
        </w:rPr>
      </w:pPr>
    </w:p>
    <w:p w:rsidR="00330A95" w:rsidRPr="00947E2D" w:rsidRDefault="006E343D" w:rsidP="00B15CB6">
      <w:pPr>
        <w:widowControl w:val="0"/>
        <w:pBdr>
          <w:top w:val="single" w:sz="1" w:space="1" w:color="000000" w:shadow="1"/>
          <w:left w:val="single" w:sz="1" w:space="1" w:color="000000" w:shadow="1"/>
          <w:bottom w:val="single" w:sz="1" w:space="1" w:color="000000" w:shadow="1"/>
          <w:right w:val="single" w:sz="1" w:space="1" w:color="000000" w:shadow="1"/>
        </w:pBdr>
        <w:tabs>
          <w:tab w:val="center" w:pos="4480"/>
          <w:tab w:val="right" w:pos="9016"/>
        </w:tabs>
        <w:jc w:val="center"/>
        <w:rPr>
          <w:b/>
          <w:sz w:val="36"/>
          <w:highlight w:val="yellow"/>
        </w:rPr>
      </w:pPr>
      <w:r w:rsidRPr="00947E2D">
        <w:rPr>
          <w:b/>
          <w:sz w:val="36"/>
        </w:rPr>
        <w:t>DESKO a.s.</w:t>
      </w:r>
      <w:r w:rsidR="00330A95" w:rsidRPr="00947E2D">
        <w:rPr>
          <w:b/>
          <w:sz w:val="36"/>
        </w:rPr>
        <w:t xml:space="preserve"> je zárukou bezpečí osobních údajů </w:t>
      </w:r>
      <w:r w:rsidR="00330A95" w:rsidRPr="00947E2D">
        <w:rPr>
          <w:b/>
          <w:sz w:val="36"/>
        </w:rPr>
        <w:br/>
        <w:t xml:space="preserve">našich zaměstnanců i všech našich partnerů </w:t>
      </w:r>
    </w:p>
    <w:p w:rsidR="00330A95" w:rsidRPr="001C757B" w:rsidRDefault="00330A95" w:rsidP="00B15CB6">
      <w:pPr>
        <w:widowControl w:val="0"/>
        <w:pBdr>
          <w:top w:val="single" w:sz="1" w:space="1" w:color="000000" w:shadow="1"/>
          <w:left w:val="single" w:sz="1" w:space="1" w:color="000000" w:shadow="1"/>
          <w:bottom w:val="single" w:sz="1" w:space="1" w:color="000000" w:shadow="1"/>
          <w:right w:val="single" w:sz="1" w:space="1" w:color="000000" w:shadow="1"/>
        </w:pBdr>
        <w:tabs>
          <w:tab w:val="center" w:pos="4480"/>
          <w:tab w:val="right" w:pos="9016"/>
        </w:tabs>
        <w:jc w:val="center"/>
        <w:rPr>
          <w:rFonts w:ascii="Arial" w:hAnsi="Arial"/>
          <w:sz w:val="8"/>
          <w:highlight w:val="yellow"/>
        </w:rPr>
      </w:pPr>
    </w:p>
    <w:p w:rsidR="00330A95" w:rsidRPr="001C757B" w:rsidRDefault="00330A95" w:rsidP="00B15CB6">
      <w:pPr>
        <w:widowControl w:val="0"/>
        <w:tabs>
          <w:tab w:val="center" w:pos="4480"/>
          <w:tab w:val="right" w:pos="9016"/>
        </w:tabs>
        <w:jc w:val="center"/>
        <w:rPr>
          <w:rFonts w:ascii="Arial" w:hAnsi="Arial"/>
          <w:b/>
          <w:i/>
          <w:highlight w:val="yellow"/>
        </w:rPr>
      </w:pPr>
    </w:p>
    <w:p w:rsidR="00330A95" w:rsidRPr="00583EA6" w:rsidRDefault="00330A95" w:rsidP="00B15CB6">
      <w:pPr>
        <w:widowControl w:val="0"/>
        <w:tabs>
          <w:tab w:val="center" w:pos="4480"/>
          <w:tab w:val="right" w:pos="9016"/>
        </w:tabs>
        <w:jc w:val="center"/>
        <w:rPr>
          <w:rFonts w:ascii="Arial" w:hAnsi="Arial"/>
          <w:b/>
          <w:i/>
        </w:rPr>
      </w:pPr>
      <w:r w:rsidRPr="00583EA6">
        <w:rPr>
          <w:rFonts w:ascii="Arial" w:hAnsi="Arial"/>
          <w:b/>
          <w:i/>
        </w:rPr>
        <w:t>Tuto vizi naplníme soustředěním se na následující opatření:</w:t>
      </w:r>
    </w:p>
    <w:p w:rsidR="00330A95" w:rsidRPr="00583EA6" w:rsidRDefault="00330A95" w:rsidP="00947E2D">
      <w:pPr>
        <w:widowControl w:val="0"/>
        <w:numPr>
          <w:ilvl w:val="0"/>
          <w:numId w:val="9"/>
        </w:numPr>
        <w:spacing w:before="60"/>
        <w:jc w:val="both"/>
        <w:rPr>
          <w:rFonts w:ascii="Arial" w:hAnsi="Arial"/>
          <w:sz w:val="22"/>
        </w:rPr>
      </w:pPr>
      <w:r w:rsidRPr="00583EA6">
        <w:rPr>
          <w:rFonts w:ascii="Arial" w:hAnsi="Arial"/>
          <w:b/>
          <w:sz w:val="22"/>
        </w:rPr>
        <w:t>Systém managementu bezpečnosti osobních údajů</w:t>
      </w:r>
      <w:r w:rsidRPr="00583EA6">
        <w:rPr>
          <w:rFonts w:ascii="Arial" w:hAnsi="Arial"/>
          <w:sz w:val="22"/>
        </w:rPr>
        <w:t xml:space="preserve">. GDPR zavádíme jako ucelený systém s provázanými </w:t>
      </w:r>
      <w:r w:rsidRPr="00583EA6">
        <w:rPr>
          <w:rFonts w:ascii="Arial" w:hAnsi="Arial"/>
          <w:sz w:val="22"/>
          <w:u w:val="single"/>
        </w:rPr>
        <w:t>říd</w:t>
      </w:r>
      <w:r w:rsidR="009E6844">
        <w:rPr>
          <w:rFonts w:ascii="Arial" w:hAnsi="Arial"/>
          <w:sz w:val="22"/>
          <w:u w:val="single"/>
        </w:rPr>
        <w:t>í</w:t>
      </w:r>
      <w:r w:rsidRPr="00583EA6">
        <w:rPr>
          <w:rFonts w:ascii="Arial" w:hAnsi="Arial"/>
          <w:sz w:val="22"/>
          <w:u w:val="single"/>
        </w:rPr>
        <w:t>cími dokumenty</w:t>
      </w:r>
      <w:r w:rsidRPr="00583EA6">
        <w:rPr>
          <w:rFonts w:ascii="Arial" w:hAnsi="Arial"/>
          <w:sz w:val="22"/>
        </w:rPr>
        <w:t xml:space="preserve"> (politika, </w:t>
      </w:r>
      <w:r w:rsidRPr="006E343D">
        <w:rPr>
          <w:rFonts w:ascii="Arial" w:hAnsi="Arial"/>
          <w:sz w:val="22"/>
        </w:rPr>
        <w:t>směrnice</w:t>
      </w:r>
      <w:r w:rsidRPr="00583EA6">
        <w:rPr>
          <w:rFonts w:ascii="Arial" w:hAnsi="Arial"/>
          <w:sz w:val="22"/>
        </w:rPr>
        <w:t xml:space="preserve">, návodky) a </w:t>
      </w:r>
      <w:r w:rsidRPr="00583EA6">
        <w:rPr>
          <w:rFonts w:ascii="Arial" w:hAnsi="Arial"/>
          <w:sz w:val="22"/>
          <w:u w:val="single"/>
        </w:rPr>
        <w:t>záznamy</w:t>
      </w:r>
      <w:r w:rsidRPr="00583EA6">
        <w:rPr>
          <w:rFonts w:ascii="Arial" w:hAnsi="Arial"/>
          <w:sz w:val="22"/>
        </w:rPr>
        <w:t xml:space="preserve">. </w:t>
      </w:r>
    </w:p>
    <w:p w:rsidR="00330A95" w:rsidRPr="00583EA6" w:rsidRDefault="00330A95" w:rsidP="00947E2D">
      <w:pPr>
        <w:widowControl w:val="0"/>
        <w:numPr>
          <w:ilvl w:val="0"/>
          <w:numId w:val="9"/>
        </w:numPr>
        <w:spacing w:before="60"/>
        <w:jc w:val="both"/>
        <w:rPr>
          <w:rFonts w:ascii="Arial" w:hAnsi="Arial"/>
          <w:sz w:val="22"/>
        </w:rPr>
      </w:pPr>
      <w:r w:rsidRPr="00583EA6">
        <w:rPr>
          <w:rFonts w:ascii="Arial" w:hAnsi="Arial"/>
          <w:b/>
          <w:sz w:val="22"/>
        </w:rPr>
        <w:t>Zaměstnanci</w:t>
      </w:r>
      <w:r w:rsidRPr="00583EA6">
        <w:rPr>
          <w:rFonts w:ascii="Arial" w:hAnsi="Arial"/>
          <w:sz w:val="22"/>
        </w:rPr>
        <w:t xml:space="preserve">. O našich zaměstnancích vedeme jen nutné záznamy pro výkon personální a mzdové agendy. Zaměstnanci vědí, které informace shromažďujeme, a </w:t>
      </w:r>
      <w:r>
        <w:rPr>
          <w:rFonts w:ascii="Arial" w:hAnsi="Arial"/>
          <w:sz w:val="22"/>
        </w:rPr>
        <w:t xml:space="preserve">pokud je to třeba, </w:t>
      </w:r>
      <w:r w:rsidRPr="00583EA6">
        <w:rPr>
          <w:rFonts w:ascii="Arial" w:hAnsi="Arial"/>
          <w:sz w:val="22"/>
        </w:rPr>
        <w:t>vyjadřují s tím souhlas.</w:t>
      </w:r>
    </w:p>
    <w:p w:rsidR="00330A95" w:rsidRPr="00583EA6" w:rsidRDefault="00330A95" w:rsidP="00947E2D">
      <w:pPr>
        <w:widowControl w:val="0"/>
        <w:numPr>
          <w:ilvl w:val="0"/>
          <w:numId w:val="9"/>
        </w:numPr>
        <w:spacing w:before="60"/>
        <w:jc w:val="both"/>
        <w:rPr>
          <w:rFonts w:ascii="Arial" w:hAnsi="Arial"/>
          <w:sz w:val="22"/>
        </w:rPr>
      </w:pPr>
      <w:r w:rsidRPr="00583EA6">
        <w:rPr>
          <w:rFonts w:ascii="Arial" w:hAnsi="Arial"/>
          <w:b/>
          <w:sz w:val="22"/>
        </w:rPr>
        <w:t>Obchodní partneři</w:t>
      </w:r>
      <w:r>
        <w:rPr>
          <w:rFonts w:ascii="Arial" w:hAnsi="Arial"/>
          <w:b/>
          <w:sz w:val="22"/>
        </w:rPr>
        <w:t xml:space="preserve"> a další osoby</w:t>
      </w:r>
      <w:r w:rsidRPr="00583EA6">
        <w:rPr>
          <w:rFonts w:ascii="Arial" w:hAnsi="Arial"/>
          <w:sz w:val="22"/>
        </w:rPr>
        <w:t xml:space="preserve">. O konkrétních osobách obchodních partnerů </w:t>
      </w:r>
      <w:r>
        <w:rPr>
          <w:rFonts w:ascii="Arial" w:hAnsi="Arial"/>
          <w:sz w:val="22"/>
        </w:rPr>
        <w:t xml:space="preserve">a dalších osobách (poradcích, státních úřednících, zaměstnancích samosprávy atd.) </w:t>
      </w:r>
      <w:r w:rsidRPr="00583EA6">
        <w:rPr>
          <w:rFonts w:ascii="Arial" w:hAnsi="Arial"/>
          <w:sz w:val="22"/>
        </w:rPr>
        <w:t xml:space="preserve">shromažďujeme jen záznamy nutné pro </w:t>
      </w:r>
      <w:r>
        <w:rPr>
          <w:rFonts w:ascii="Arial" w:hAnsi="Arial"/>
          <w:sz w:val="22"/>
        </w:rPr>
        <w:t xml:space="preserve">příslušnou </w:t>
      </w:r>
      <w:r w:rsidRPr="00583EA6">
        <w:rPr>
          <w:rFonts w:ascii="Arial" w:hAnsi="Arial"/>
          <w:sz w:val="22"/>
        </w:rPr>
        <w:t>činnost (nákup</w:t>
      </w:r>
      <w:r>
        <w:rPr>
          <w:rFonts w:ascii="Arial" w:hAnsi="Arial"/>
          <w:sz w:val="22"/>
        </w:rPr>
        <w:t>,</w:t>
      </w:r>
      <w:r w:rsidRPr="00583EA6">
        <w:rPr>
          <w:rFonts w:ascii="Arial" w:hAnsi="Arial"/>
          <w:sz w:val="22"/>
        </w:rPr>
        <w:t xml:space="preserve"> prodej</w:t>
      </w:r>
      <w:r>
        <w:rPr>
          <w:rFonts w:ascii="Arial" w:hAnsi="Arial"/>
          <w:sz w:val="22"/>
        </w:rPr>
        <w:t>, poradenství, kontrolní činnost atd.</w:t>
      </w:r>
      <w:r w:rsidRPr="00583EA6">
        <w:rPr>
          <w:rFonts w:ascii="Arial" w:hAnsi="Arial"/>
          <w:sz w:val="22"/>
        </w:rPr>
        <w:t>). Partnery upozorňujeme, že dodržujeme pravidla GDPR a vyžadujeme totéž od nich.</w:t>
      </w:r>
    </w:p>
    <w:p w:rsidR="00330A95" w:rsidRDefault="00330A95" w:rsidP="00947E2D">
      <w:pPr>
        <w:widowControl w:val="0"/>
        <w:numPr>
          <w:ilvl w:val="0"/>
          <w:numId w:val="9"/>
        </w:numPr>
        <w:spacing w:before="60"/>
        <w:jc w:val="both"/>
        <w:rPr>
          <w:rFonts w:ascii="Arial" w:hAnsi="Arial"/>
          <w:sz w:val="22"/>
        </w:rPr>
      </w:pPr>
      <w:r w:rsidRPr="00E32272">
        <w:rPr>
          <w:rFonts w:ascii="Arial" w:hAnsi="Arial"/>
          <w:b/>
          <w:sz w:val="22"/>
        </w:rPr>
        <w:t>Softwarové produkty evidující osobní údaje</w:t>
      </w:r>
      <w:r w:rsidRPr="00E32272">
        <w:rPr>
          <w:rFonts w:ascii="Arial" w:hAnsi="Arial"/>
          <w:sz w:val="22"/>
        </w:rPr>
        <w:t xml:space="preserve">. Posuzujeme </w:t>
      </w:r>
      <w:r>
        <w:rPr>
          <w:rFonts w:ascii="Arial" w:hAnsi="Arial"/>
          <w:sz w:val="22"/>
        </w:rPr>
        <w:t xml:space="preserve">využívané </w:t>
      </w:r>
      <w:r w:rsidRPr="00E32272">
        <w:rPr>
          <w:rFonts w:ascii="Arial" w:hAnsi="Arial"/>
          <w:sz w:val="22"/>
        </w:rPr>
        <w:t>i nové softwarové produkty z pohledu evidence osobních údajů. Požadujeme od dodavatelů podporu GDPR</w:t>
      </w:r>
      <w:r>
        <w:rPr>
          <w:rFonts w:ascii="Arial" w:hAnsi="Arial"/>
          <w:sz w:val="22"/>
        </w:rPr>
        <w:t xml:space="preserve"> </w:t>
      </w:r>
      <w:r w:rsidRPr="00E32272">
        <w:rPr>
          <w:rFonts w:ascii="Arial" w:hAnsi="Arial"/>
          <w:sz w:val="22"/>
        </w:rPr>
        <w:t xml:space="preserve">při jejich využívání </w:t>
      </w:r>
      <w:r>
        <w:rPr>
          <w:rFonts w:ascii="Arial" w:hAnsi="Arial"/>
          <w:sz w:val="22"/>
        </w:rPr>
        <w:t>včetně</w:t>
      </w:r>
      <w:r w:rsidRPr="00E32272">
        <w:rPr>
          <w:rFonts w:ascii="Arial" w:hAnsi="Arial"/>
          <w:sz w:val="22"/>
        </w:rPr>
        <w:t xml:space="preserve"> funkc</w:t>
      </w:r>
      <w:r>
        <w:rPr>
          <w:rFonts w:ascii="Arial" w:hAnsi="Arial"/>
          <w:sz w:val="22"/>
        </w:rPr>
        <w:t>í</w:t>
      </w:r>
      <w:r w:rsidRPr="00E32272">
        <w:rPr>
          <w:rFonts w:ascii="Arial" w:hAnsi="Arial"/>
          <w:sz w:val="22"/>
        </w:rPr>
        <w:t xml:space="preserve"> pro plnění práv subjektů (výmaz dat, </w:t>
      </w:r>
      <w:r w:rsidRPr="00E32272">
        <w:rPr>
          <w:rFonts w:ascii="Arial" w:hAnsi="Arial"/>
          <w:sz w:val="22"/>
        </w:rPr>
        <w:lastRenderedPageBreak/>
        <w:t>anonymizace dat apod.).</w:t>
      </w:r>
    </w:p>
    <w:p w:rsidR="00D800D2" w:rsidRPr="00411A26" w:rsidRDefault="00D800D2" w:rsidP="00B15CB6">
      <w:pPr>
        <w:widowControl w:val="0"/>
        <w:rPr>
          <w:rFonts w:ascii="Arial" w:hAnsi="Arial" w:cs="Arial"/>
          <w:sz w:val="22"/>
        </w:rPr>
      </w:pPr>
    </w:p>
    <w:p w:rsidR="00D800D2" w:rsidRDefault="00D800D2" w:rsidP="00B15CB6">
      <w:pPr>
        <w:widowControl w:val="0"/>
        <w:jc w:val="both"/>
        <w:rPr>
          <w:rFonts w:ascii="Arial" w:hAnsi="Arial" w:cs="Arial"/>
          <w:sz w:val="22"/>
        </w:rPr>
      </w:pPr>
      <w:r w:rsidRPr="00411A26">
        <w:rPr>
          <w:rFonts w:ascii="Arial" w:hAnsi="Arial" w:cs="Arial"/>
          <w:sz w:val="22"/>
        </w:rPr>
        <w:t xml:space="preserve">V Desné dne </w:t>
      </w:r>
      <w:r w:rsidR="008D6BBE" w:rsidRPr="00411A26">
        <w:rPr>
          <w:rFonts w:ascii="Arial" w:hAnsi="Arial" w:cs="Arial"/>
          <w:sz w:val="22"/>
        </w:rPr>
        <w:t xml:space="preserve">1. </w:t>
      </w:r>
      <w:r w:rsidR="006E343D">
        <w:rPr>
          <w:rFonts w:ascii="Arial" w:hAnsi="Arial" w:cs="Arial"/>
          <w:sz w:val="22"/>
        </w:rPr>
        <w:t>ledna</w:t>
      </w:r>
      <w:r w:rsidR="0014047A">
        <w:rPr>
          <w:rFonts w:ascii="Arial" w:hAnsi="Arial" w:cs="Arial"/>
          <w:sz w:val="22"/>
        </w:rPr>
        <w:t xml:space="preserve"> </w:t>
      </w:r>
      <w:r w:rsidR="00E811CA" w:rsidRPr="00411A26">
        <w:rPr>
          <w:rFonts w:ascii="Arial" w:hAnsi="Arial" w:cs="Arial"/>
          <w:sz w:val="22"/>
        </w:rPr>
        <w:t>201</w:t>
      </w:r>
      <w:r w:rsidR="006E343D">
        <w:rPr>
          <w:rFonts w:ascii="Arial" w:hAnsi="Arial" w:cs="Arial"/>
          <w:sz w:val="22"/>
        </w:rPr>
        <w:t>8</w:t>
      </w:r>
    </w:p>
    <w:p w:rsidR="00B15CB6" w:rsidRDefault="00B15CB6" w:rsidP="00B15CB6">
      <w:pPr>
        <w:widowControl w:val="0"/>
        <w:jc w:val="both"/>
        <w:rPr>
          <w:rFonts w:ascii="Arial" w:hAnsi="Arial" w:cs="Arial"/>
          <w:sz w:val="22"/>
        </w:rPr>
      </w:pPr>
    </w:p>
    <w:p w:rsidR="00947E2D" w:rsidRDefault="00947E2D" w:rsidP="00B15CB6">
      <w:pPr>
        <w:widowControl w:val="0"/>
        <w:jc w:val="both"/>
        <w:rPr>
          <w:rFonts w:ascii="Arial" w:hAnsi="Arial" w:cs="Arial"/>
          <w:sz w:val="22"/>
        </w:rPr>
      </w:pPr>
    </w:p>
    <w:p w:rsidR="00947E2D" w:rsidRDefault="00947E2D" w:rsidP="00B15CB6">
      <w:pPr>
        <w:widowControl w:val="0"/>
        <w:jc w:val="both"/>
        <w:rPr>
          <w:rFonts w:ascii="Arial" w:hAnsi="Arial" w:cs="Arial"/>
          <w:sz w:val="22"/>
        </w:rPr>
      </w:pPr>
    </w:p>
    <w:p w:rsidR="00A52082" w:rsidRPr="00411A26" w:rsidRDefault="0014047A" w:rsidP="00B15CB6">
      <w:pPr>
        <w:widowControl w:val="0"/>
        <w:ind w:left="90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Júlia Stephányová</w:t>
      </w:r>
      <w:r w:rsidR="00A52082" w:rsidRPr="00411A26">
        <w:rPr>
          <w:rFonts w:ascii="Arial" w:hAnsi="Arial" w:cs="Arial"/>
          <w:sz w:val="22"/>
        </w:rPr>
        <w:tab/>
      </w:r>
      <w:r w:rsidR="00A52082" w:rsidRPr="00411A26">
        <w:rPr>
          <w:rFonts w:ascii="Arial" w:hAnsi="Arial" w:cs="Arial"/>
          <w:sz w:val="22"/>
        </w:rPr>
        <w:tab/>
      </w:r>
      <w:r w:rsidR="00A52082" w:rsidRPr="00411A26">
        <w:rPr>
          <w:rFonts w:ascii="Arial" w:hAnsi="Arial" w:cs="Arial"/>
          <w:sz w:val="22"/>
        </w:rPr>
        <w:tab/>
      </w:r>
      <w:r w:rsidR="00A52082" w:rsidRPr="00411A26">
        <w:rPr>
          <w:rFonts w:ascii="Arial" w:hAnsi="Arial" w:cs="Arial"/>
          <w:sz w:val="22"/>
        </w:rPr>
        <w:tab/>
      </w:r>
      <w:r w:rsidR="00A52082" w:rsidRPr="00411A26">
        <w:rPr>
          <w:rFonts w:ascii="Arial" w:hAnsi="Arial" w:cs="Arial"/>
          <w:sz w:val="22"/>
        </w:rPr>
        <w:tab/>
        <w:t xml:space="preserve">Ing. </w:t>
      </w:r>
      <w:r w:rsidR="006E343D">
        <w:rPr>
          <w:rFonts w:ascii="Arial" w:hAnsi="Arial" w:cs="Arial"/>
          <w:sz w:val="22"/>
        </w:rPr>
        <w:t>Jan Hroch</w:t>
      </w:r>
    </w:p>
    <w:p w:rsidR="007E19E0" w:rsidRDefault="006E343D" w:rsidP="00B15CB6">
      <w:pPr>
        <w:widowControl w:val="0"/>
        <w:ind w:left="90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garant GDPR</w:t>
      </w:r>
      <w:r w:rsidR="00A52082" w:rsidRPr="00411A26">
        <w:rPr>
          <w:rFonts w:ascii="Arial" w:hAnsi="Arial" w:cs="Arial"/>
          <w:sz w:val="22"/>
        </w:rPr>
        <w:tab/>
      </w:r>
      <w:r w:rsidR="00A52082" w:rsidRPr="00411A26">
        <w:rPr>
          <w:rFonts w:ascii="Arial" w:hAnsi="Arial" w:cs="Arial"/>
          <w:sz w:val="22"/>
        </w:rPr>
        <w:tab/>
      </w:r>
      <w:r w:rsidR="00A52082" w:rsidRPr="00411A26">
        <w:rPr>
          <w:rFonts w:ascii="Arial" w:hAnsi="Arial" w:cs="Arial"/>
          <w:sz w:val="22"/>
        </w:rPr>
        <w:tab/>
      </w:r>
      <w:r w:rsidR="00A52082" w:rsidRPr="00411A2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                  </w:t>
      </w:r>
      <w:r w:rsidR="00687C60" w:rsidRPr="00411A26">
        <w:rPr>
          <w:rFonts w:ascii="Arial" w:hAnsi="Arial" w:cs="Arial"/>
          <w:sz w:val="22"/>
        </w:rPr>
        <w:t>generální</w:t>
      </w:r>
      <w:r w:rsidR="00A52082" w:rsidRPr="00411A26">
        <w:rPr>
          <w:rFonts w:ascii="Arial" w:hAnsi="Arial" w:cs="Arial"/>
          <w:sz w:val="22"/>
        </w:rPr>
        <w:t xml:space="preserve"> ředitel</w:t>
      </w:r>
    </w:p>
    <w:p w:rsidR="00B15CB6" w:rsidRDefault="00B15CB6" w:rsidP="00B15CB6">
      <w:pPr>
        <w:widowControl w:val="0"/>
        <w:jc w:val="both"/>
        <w:rPr>
          <w:rFonts w:ascii="Arial" w:hAnsi="Arial" w:cs="Arial"/>
          <w:sz w:val="22"/>
        </w:rPr>
      </w:pPr>
    </w:p>
    <w:p w:rsidR="00947E2D" w:rsidRDefault="00B15CB6" w:rsidP="00B15CB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i/>
          <w:sz w:val="16"/>
          <w:szCs w:val="16"/>
        </w:rPr>
      </w:pPr>
      <w:r w:rsidRPr="00E32272">
        <w:rPr>
          <w:rFonts w:ascii="Arial" w:hAnsi="Arial"/>
          <w:i/>
          <w:sz w:val="16"/>
          <w:szCs w:val="16"/>
        </w:rPr>
        <w:t>Tato Politika GDPR je závazkem vedení firmy naplňovat zásady v oblasti ochrany osobních údajů. Politika GDPR je základem pro stanovování dílčích cílů. Zaměstnanci firmy jsou s Politikou GDPR opakovaně seznamováni, protože odpovídají za její plnění.</w:t>
      </w:r>
      <w:r w:rsidR="00947E2D">
        <w:rPr>
          <w:rFonts w:ascii="Arial" w:hAnsi="Arial"/>
          <w:i/>
          <w:sz w:val="16"/>
          <w:szCs w:val="16"/>
        </w:rPr>
        <w:t xml:space="preserve"> </w:t>
      </w:r>
    </w:p>
    <w:p w:rsidR="00B15CB6" w:rsidRPr="00E32272" w:rsidRDefault="00B15CB6" w:rsidP="00947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both"/>
        <w:rPr>
          <w:rFonts w:ascii="Arial" w:hAnsi="Arial"/>
          <w:i/>
          <w:sz w:val="16"/>
          <w:szCs w:val="16"/>
        </w:rPr>
      </w:pPr>
      <w:r w:rsidRPr="00E32272">
        <w:rPr>
          <w:rFonts w:ascii="Arial" w:hAnsi="Arial"/>
          <w:i/>
          <w:sz w:val="16"/>
          <w:szCs w:val="16"/>
        </w:rPr>
        <w:t>Tato Politika GDPR je přijímána na dobu neurčitou. Přezkoumávána z hlediska aktuálnosti a účinnosti může být kdykoli a z jakéhokoli důvodu, minimálně však jedenkrát ročně.</w:t>
      </w:r>
    </w:p>
    <w:sectPr w:rsidR="00B15CB6" w:rsidRPr="00E32272" w:rsidSect="00947E2D">
      <w:headerReference w:type="default" r:id="rId8"/>
      <w:pgSz w:w="11906" w:h="16838"/>
      <w:pgMar w:top="510" w:right="1418" w:bottom="284" w:left="1418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8A" w:rsidRDefault="00E0528A">
      <w:r>
        <w:separator/>
      </w:r>
    </w:p>
  </w:endnote>
  <w:endnote w:type="continuationSeparator" w:id="0">
    <w:p w:rsidR="00E0528A" w:rsidRDefault="00E0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8A" w:rsidRDefault="00E0528A">
      <w:r>
        <w:separator/>
      </w:r>
    </w:p>
  </w:footnote>
  <w:footnote w:type="continuationSeparator" w:id="0">
    <w:p w:rsidR="00E0528A" w:rsidRDefault="00E05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37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13"/>
      <w:gridCol w:w="4512"/>
      <w:gridCol w:w="4512"/>
    </w:tblGrid>
    <w:tr w:rsidR="00947E2D" w:rsidTr="00947E2D">
      <w:trPr>
        <w:trHeight w:val="841"/>
      </w:trPr>
      <w:tc>
        <w:tcPr>
          <w:tcW w:w="1913" w:type="dxa"/>
          <w:tcBorders>
            <w:top w:val="nil"/>
            <w:left w:val="nil"/>
            <w:bottom w:val="nil"/>
            <w:right w:val="nil"/>
          </w:tcBorders>
          <w:hideMark/>
        </w:tcPr>
        <w:p w:rsidR="00947E2D" w:rsidRDefault="00947E2D">
          <w:pPr>
            <w:pStyle w:val="Zhlav"/>
            <w:tabs>
              <w:tab w:val="clear" w:pos="9072"/>
              <w:tab w:val="right" w:pos="10206"/>
            </w:tabs>
          </w:pPr>
          <w:r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D5ABC8" wp14:editId="2C2C0D72">
                    <wp:simplePos x="0" y="0"/>
                    <wp:positionH relativeFrom="column">
                      <wp:posOffset>-93345</wp:posOffset>
                    </wp:positionH>
                    <wp:positionV relativeFrom="paragraph">
                      <wp:posOffset>809625</wp:posOffset>
                    </wp:positionV>
                    <wp:extent cx="5829300" cy="0"/>
                    <wp:effectExtent l="11430" t="9525" r="7620" b="9525"/>
                    <wp:wrapNone/>
                    <wp:docPr id="4" name="Přímá spojnic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29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63.75pt" to="451.6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"/>
                </w:pict>
              </mc:Fallback>
            </mc:AlternateContent>
          </w:r>
          <w:r>
            <w:rPr>
              <w:rFonts w:ascii="Arial" w:hAnsi="Arial"/>
              <w:noProof/>
            </w:rPr>
            <w:drawing>
              <wp:anchor distT="0" distB="0" distL="114300" distR="114300" simplePos="0" relativeHeight="251660288" behindDoc="0" locked="0" layoutInCell="1" allowOverlap="1" wp14:anchorId="310C9692" wp14:editId="4AF935CE">
                <wp:simplePos x="0" y="0"/>
                <wp:positionH relativeFrom="column">
                  <wp:posOffset>-207645</wp:posOffset>
                </wp:positionH>
                <wp:positionV relativeFrom="paragraph">
                  <wp:posOffset>-690880</wp:posOffset>
                </wp:positionV>
                <wp:extent cx="984250" cy="695960"/>
                <wp:effectExtent l="0" t="0" r="6350" b="8890"/>
                <wp:wrapTopAndBottom/>
                <wp:docPr id="3" name="Obrázek 3" descr="Logo_De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De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695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                                 </w:t>
          </w:r>
        </w:p>
      </w:tc>
      <w:tc>
        <w:tcPr>
          <w:tcW w:w="451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47E2D" w:rsidRDefault="00947E2D" w:rsidP="005D3A8E">
          <w:pPr>
            <w:pStyle w:val="Zhlav"/>
            <w:spacing w:after="120"/>
          </w:pPr>
          <w:r>
            <w:rPr>
              <w:b/>
              <w:sz w:val="36"/>
            </w:rPr>
            <w:t xml:space="preserve">DESKO </w:t>
          </w:r>
          <w:r>
            <w:t>a.s.</w:t>
          </w:r>
        </w:p>
      </w:tc>
      <w:tc>
        <w:tcPr>
          <w:tcW w:w="4512" w:type="dxa"/>
          <w:tcBorders>
            <w:top w:val="nil"/>
            <w:left w:val="nil"/>
            <w:bottom w:val="nil"/>
            <w:right w:val="nil"/>
          </w:tcBorders>
        </w:tcPr>
        <w:p w:rsidR="00947E2D" w:rsidRDefault="00947E2D">
          <w:pPr>
            <w:pStyle w:val="Zhlav"/>
            <w:tabs>
              <w:tab w:val="left" w:pos="708"/>
            </w:tabs>
            <w:rPr>
              <w:sz w:val="20"/>
            </w:rPr>
          </w:pPr>
        </w:p>
      </w:tc>
    </w:tr>
  </w:tbl>
  <w:p w:rsidR="00CA7BC0" w:rsidRDefault="00CA7BC0" w:rsidP="00F231A7">
    <w:pPr>
      <w:rPr>
        <w:rFonts w:ascii="Arial" w:hAnsi="Arial"/>
        <w:b/>
        <w:color w:val="FF0000"/>
      </w:rPr>
    </w:pPr>
    <w:r>
      <w:rPr>
        <w:rFonts w:ascii="Arial" w:hAnsi="Arial"/>
        <w:b/>
        <w:color w:val="FF0000"/>
      </w:rPr>
      <w:tab/>
    </w:r>
    <w:r>
      <w:rPr>
        <w:rFonts w:ascii="Arial" w:hAnsi="Arial"/>
        <w:b/>
        <w:color w:val="FF0000"/>
      </w:rPr>
      <w:tab/>
    </w:r>
    <w:r>
      <w:rPr>
        <w:rFonts w:ascii="Arial" w:hAnsi="Arial"/>
        <w:b/>
        <w:color w:val="FF0000"/>
      </w:rPr>
      <w:tab/>
    </w:r>
    <w:r>
      <w:rPr>
        <w:rFonts w:ascii="Arial" w:hAnsi="Arial"/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0C3A8B"/>
    <w:multiLevelType w:val="multilevel"/>
    <w:tmpl w:val="34AAEEDA"/>
    <w:lvl w:ilvl="0">
      <w:start w:val="1"/>
      <w:numFmt w:val="decimal"/>
      <w:lvlText w:val="4.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4.%1.%2"/>
      <w:legacy w:legacy="1" w:legacySpace="0" w:legacyIndent="709"/>
      <w:lvlJc w:val="left"/>
      <w:pPr>
        <w:ind w:left="1276" w:hanging="709"/>
      </w:pPr>
    </w:lvl>
    <w:lvl w:ilvl="2">
      <w:start w:val="1"/>
      <w:numFmt w:val="decimal"/>
      <w:lvlText w:val="4.%1.%2.%3"/>
      <w:legacy w:legacy="1" w:legacySpace="0" w:legacyIndent="851"/>
      <w:lvlJc w:val="left"/>
      <w:pPr>
        <w:ind w:left="2127" w:hanging="851"/>
      </w:pPr>
    </w:lvl>
    <w:lvl w:ilvl="3">
      <w:start w:val="1"/>
      <w:numFmt w:val="decimal"/>
      <w:lvlText w:val="4.%1.%2.%3.%4"/>
      <w:legacy w:legacy="1" w:legacySpace="0" w:legacyIndent="992"/>
      <w:lvlJc w:val="left"/>
      <w:pPr>
        <w:ind w:left="3119" w:hanging="992"/>
      </w:pPr>
    </w:lvl>
    <w:lvl w:ilvl="4">
      <w:start w:val="1"/>
      <w:numFmt w:val="decimal"/>
      <w:lvlText w:val="4.%1.%2.%3.%4.%5"/>
      <w:legacy w:legacy="1" w:legacySpace="0" w:legacyIndent="1134"/>
      <w:lvlJc w:val="left"/>
      <w:pPr>
        <w:ind w:left="4253" w:hanging="1134"/>
      </w:pPr>
    </w:lvl>
    <w:lvl w:ilvl="5">
      <w:start w:val="1"/>
      <w:numFmt w:val="decimal"/>
      <w:lvlText w:val="4.%1.%2.%3.%4.%5.%6"/>
      <w:legacy w:legacy="1" w:legacySpace="0" w:legacyIndent="708"/>
      <w:lvlJc w:val="left"/>
      <w:pPr>
        <w:ind w:left="4961" w:hanging="708"/>
      </w:pPr>
    </w:lvl>
    <w:lvl w:ilvl="6">
      <w:start w:val="1"/>
      <w:numFmt w:val="decimal"/>
      <w:lvlText w:val="4.%1.%2.%3.%4.%5.%6.%7"/>
      <w:legacy w:legacy="1" w:legacySpace="0" w:legacyIndent="708"/>
      <w:lvlJc w:val="left"/>
      <w:pPr>
        <w:ind w:left="5669" w:hanging="708"/>
      </w:pPr>
    </w:lvl>
    <w:lvl w:ilvl="7">
      <w:start w:val="1"/>
      <w:numFmt w:val="decimal"/>
      <w:lvlText w:val="4.%1.%2.%3.%4.%5.%6.%7.%8"/>
      <w:legacy w:legacy="1" w:legacySpace="0" w:legacyIndent="708"/>
      <w:lvlJc w:val="left"/>
      <w:pPr>
        <w:ind w:left="6377" w:hanging="708"/>
      </w:pPr>
    </w:lvl>
    <w:lvl w:ilvl="8">
      <w:start w:val="1"/>
      <w:numFmt w:val="decimal"/>
      <w:lvlText w:val="4.%1.%2.%3.%4.%5.%6.%7.%8.%9"/>
      <w:legacy w:legacy="1" w:legacySpace="0" w:legacyIndent="708"/>
      <w:lvlJc w:val="left"/>
      <w:pPr>
        <w:ind w:left="7085" w:hanging="708"/>
      </w:pPr>
    </w:lvl>
  </w:abstractNum>
  <w:abstractNum w:abstractNumId="2">
    <w:nsid w:val="0F6415EB"/>
    <w:multiLevelType w:val="multilevel"/>
    <w:tmpl w:val="3160BA0E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3">
    <w:nsid w:val="1E364446"/>
    <w:multiLevelType w:val="singleLevel"/>
    <w:tmpl w:val="9E78C846"/>
    <w:lvl w:ilvl="0">
      <w:start w:val="1"/>
      <w:numFmt w:val="lowerLetter"/>
      <w:lvlText w:val="%1)"/>
      <w:legacy w:legacy="1" w:legacySpace="0" w:legacyIndent="283"/>
      <w:lvlJc w:val="left"/>
      <w:pPr>
        <w:ind w:left="2407" w:hanging="283"/>
      </w:pPr>
    </w:lvl>
  </w:abstractNum>
  <w:abstractNum w:abstractNumId="4">
    <w:nsid w:val="23C57E04"/>
    <w:multiLevelType w:val="multilevel"/>
    <w:tmpl w:val="6FC8AD4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5">
    <w:nsid w:val="43B94BAE"/>
    <w:multiLevelType w:val="multilevel"/>
    <w:tmpl w:val="32FEB276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6">
    <w:nsid w:val="4E0C6CEF"/>
    <w:multiLevelType w:val="singleLevel"/>
    <w:tmpl w:val="9E78C846"/>
    <w:lvl w:ilvl="0">
      <w:start w:val="1"/>
      <w:numFmt w:val="lowerLetter"/>
      <w:lvlText w:val="%1)"/>
      <w:legacy w:legacy="1" w:legacySpace="0" w:legacyIndent="283"/>
      <w:lvlJc w:val="left"/>
      <w:pPr>
        <w:ind w:left="2407" w:hanging="283"/>
      </w:pPr>
    </w:lvl>
  </w:abstractNum>
  <w:abstractNum w:abstractNumId="7">
    <w:nsid w:val="545A4778"/>
    <w:multiLevelType w:val="singleLevel"/>
    <w:tmpl w:val="9E78C846"/>
    <w:lvl w:ilvl="0">
      <w:start w:val="1"/>
      <w:numFmt w:val="lowerLetter"/>
      <w:lvlText w:val="%1)"/>
      <w:legacy w:legacy="1" w:legacySpace="0" w:legacyIndent="283"/>
      <w:lvlJc w:val="left"/>
      <w:pPr>
        <w:ind w:left="1559" w:hanging="283"/>
      </w:pPr>
    </w:lvl>
  </w:abstractNum>
  <w:abstractNum w:abstractNumId="8">
    <w:nsid w:val="57E000B7"/>
    <w:multiLevelType w:val="multilevel"/>
    <w:tmpl w:val="20B0544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none"/>
      <w:lvlText w:val=""/>
      <w:legacy w:legacy="1" w:legacySpace="0" w:legacyIndent="284"/>
      <w:lvlJc w:val="left"/>
      <w:pPr>
        <w:ind w:left="738" w:hanging="284"/>
      </w:pPr>
      <w:rPr>
        <w:rFonts w:ascii="Symbol" w:hAnsi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9">
    <w:nsid w:val="5A8147BD"/>
    <w:multiLevelType w:val="singleLevel"/>
    <w:tmpl w:val="9E78C846"/>
    <w:lvl w:ilvl="0">
      <w:start w:val="1"/>
      <w:numFmt w:val="lowerLetter"/>
      <w:lvlText w:val="%1)"/>
      <w:legacy w:legacy="1" w:legacySpace="0" w:legacyIndent="283"/>
      <w:lvlJc w:val="left"/>
      <w:pPr>
        <w:ind w:left="1699" w:hanging="283"/>
      </w:pPr>
    </w:lvl>
  </w:abstractNum>
  <w:abstractNum w:abstractNumId="10">
    <w:nsid w:val="6ECB3D06"/>
    <w:multiLevelType w:val="singleLevel"/>
    <w:tmpl w:val="9E78C846"/>
    <w:lvl w:ilvl="0">
      <w:start w:val="1"/>
      <w:numFmt w:val="lowerLetter"/>
      <w:lvlText w:val="%1)"/>
      <w:legacy w:legacy="1" w:legacySpace="0" w:legacyIndent="283"/>
      <w:lvlJc w:val="left"/>
      <w:pPr>
        <w:ind w:left="1699" w:hanging="283"/>
      </w:pPr>
    </w:lvl>
  </w:abstractNum>
  <w:abstractNum w:abstractNumId="11">
    <w:nsid w:val="703F60C8"/>
    <w:multiLevelType w:val="singleLevel"/>
    <w:tmpl w:val="22FECB50"/>
    <w:lvl w:ilvl="0">
      <w:start w:val="1"/>
      <w:numFmt w:val="decimal"/>
      <w:lvlText w:val="4-%1"/>
      <w:legacy w:legacy="1" w:legacySpace="0" w:legacyIndent="567"/>
      <w:lvlJc w:val="left"/>
      <w:pPr>
        <w:ind w:left="567" w:hanging="567"/>
      </w:pPr>
    </w:lvl>
  </w:abstractNum>
  <w:abstractNum w:abstractNumId="12">
    <w:nsid w:val="777B6EAE"/>
    <w:multiLevelType w:val="hybridMultilevel"/>
    <w:tmpl w:val="596A8D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93AC3"/>
    <w:multiLevelType w:val="multilevel"/>
    <w:tmpl w:val="2248687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407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6B"/>
    <w:rsid w:val="000405B9"/>
    <w:rsid w:val="00044E86"/>
    <w:rsid w:val="00097739"/>
    <w:rsid w:val="000A3705"/>
    <w:rsid w:val="000E0AB9"/>
    <w:rsid w:val="0014013E"/>
    <w:rsid w:val="0014047A"/>
    <w:rsid w:val="00145473"/>
    <w:rsid w:val="00241118"/>
    <w:rsid w:val="00247FD2"/>
    <w:rsid w:val="0028051B"/>
    <w:rsid w:val="002C6402"/>
    <w:rsid w:val="00330A95"/>
    <w:rsid w:val="003D0F41"/>
    <w:rsid w:val="003D7461"/>
    <w:rsid w:val="00411A26"/>
    <w:rsid w:val="004258E9"/>
    <w:rsid w:val="004331B1"/>
    <w:rsid w:val="00487997"/>
    <w:rsid w:val="00560C05"/>
    <w:rsid w:val="005D3A8E"/>
    <w:rsid w:val="005F0F66"/>
    <w:rsid w:val="00600BF6"/>
    <w:rsid w:val="006031DD"/>
    <w:rsid w:val="00605546"/>
    <w:rsid w:val="00660C36"/>
    <w:rsid w:val="00687C60"/>
    <w:rsid w:val="006A599B"/>
    <w:rsid w:val="006E343D"/>
    <w:rsid w:val="006E6DDC"/>
    <w:rsid w:val="006F5F14"/>
    <w:rsid w:val="007C3C36"/>
    <w:rsid w:val="007E19E0"/>
    <w:rsid w:val="007E4299"/>
    <w:rsid w:val="00816C94"/>
    <w:rsid w:val="00823954"/>
    <w:rsid w:val="00824F49"/>
    <w:rsid w:val="00893702"/>
    <w:rsid w:val="008D6BBE"/>
    <w:rsid w:val="009403E6"/>
    <w:rsid w:val="0094506B"/>
    <w:rsid w:val="009459A5"/>
    <w:rsid w:val="00947E2D"/>
    <w:rsid w:val="009C0DCB"/>
    <w:rsid w:val="009E6844"/>
    <w:rsid w:val="00A0042D"/>
    <w:rsid w:val="00A52082"/>
    <w:rsid w:val="00B15CB6"/>
    <w:rsid w:val="00B92173"/>
    <w:rsid w:val="00BF3CF1"/>
    <w:rsid w:val="00C027BE"/>
    <w:rsid w:val="00C33F55"/>
    <w:rsid w:val="00CA7BC0"/>
    <w:rsid w:val="00D25CE7"/>
    <w:rsid w:val="00D800D2"/>
    <w:rsid w:val="00D81368"/>
    <w:rsid w:val="00DB6FE3"/>
    <w:rsid w:val="00E0528A"/>
    <w:rsid w:val="00E811CA"/>
    <w:rsid w:val="00EB751B"/>
    <w:rsid w:val="00ED003B"/>
    <w:rsid w:val="00F1782C"/>
    <w:rsid w:val="00F231A7"/>
    <w:rsid w:val="00FA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48"/>
      <w:u w:val="single"/>
    </w:rPr>
  </w:style>
  <w:style w:type="paragraph" w:styleId="Textbubliny">
    <w:name w:val="Balloon Text"/>
    <w:basedOn w:val="Normln"/>
    <w:semiHidden/>
    <w:rsid w:val="0094506B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8D6BBE"/>
    <w:rPr>
      <w:sz w:val="24"/>
    </w:rPr>
  </w:style>
  <w:style w:type="paragraph" w:styleId="Zkladntext">
    <w:name w:val="Body Text"/>
    <w:basedOn w:val="Normln"/>
    <w:link w:val="ZkladntextChar"/>
    <w:rsid w:val="00330A95"/>
    <w:pPr>
      <w:spacing w:before="120"/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330A95"/>
    <w:rPr>
      <w:rFonts w:ascii="Arial" w:hAnsi="Arial"/>
      <w:sz w:val="22"/>
    </w:rPr>
  </w:style>
  <w:style w:type="paragraph" w:styleId="Normlnweb">
    <w:name w:val="Normal (Web)"/>
    <w:basedOn w:val="Normln"/>
    <w:uiPriority w:val="99"/>
    <w:semiHidden/>
    <w:unhideWhenUsed/>
    <w:rsid w:val="007C3C36"/>
    <w:pPr>
      <w:spacing w:before="100" w:beforeAutospacing="1" w:after="100" w:afterAutospacing="1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48"/>
      <w:u w:val="single"/>
    </w:rPr>
  </w:style>
  <w:style w:type="paragraph" w:styleId="Textbubliny">
    <w:name w:val="Balloon Text"/>
    <w:basedOn w:val="Normln"/>
    <w:semiHidden/>
    <w:rsid w:val="0094506B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8D6BBE"/>
    <w:rPr>
      <w:sz w:val="24"/>
    </w:rPr>
  </w:style>
  <w:style w:type="paragraph" w:styleId="Zkladntext">
    <w:name w:val="Body Text"/>
    <w:basedOn w:val="Normln"/>
    <w:link w:val="ZkladntextChar"/>
    <w:rsid w:val="00330A95"/>
    <w:pPr>
      <w:spacing w:before="120"/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330A95"/>
    <w:rPr>
      <w:rFonts w:ascii="Arial" w:hAnsi="Arial"/>
      <w:sz w:val="22"/>
    </w:rPr>
  </w:style>
  <w:style w:type="paragraph" w:styleId="Normlnweb">
    <w:name w:val="Normal (Web)"/>
    <w:basedOn w:val="Normln"/>
    <w:uiPriority w:val="99"/>
    <w:semiHidden/>
    <w:unhideWhenUsed/>
    <w:rsid w:val="007C3C36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Turnov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Luděk Hlaváč</dc:creator>
  <cp:lastModifiedBy>Stephányová Júlia</cp:lastModifiedBy>
  <cp:revision>12</cp:revision>
  <cp:lastPrinted>2017-03-30T10:59:00Z</cp:lastPrinted>
  <dcterms:created xsi:type="dcterms:W3CDTF">2017-03-30T09:03:00Z</dcterms:created>
  <dcterms:modified xsi:type="dcterms:W3CDTF">2018-02-01T09:41:00Z</dcterms:modified>
</cp:coreProperties>
</file>